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2D" w:rsidRDefault="00902C2D"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noProof/>
          <w:lang w:val="es-AR" w:eastAsia="es-AR"/>
        </w:rPr>
        <w:drawing>
          <wp:anchor distT="0" distB="0" distL="114300" distR="114300" simplePos="0" relativeHeight="251659264" behindDoc="1" locked="0" layoutInCell="1" allowOverlap="1" wp14:anchorId="2D6DD962" wp14:editId="6A39438A">
            <wp:simplePos x="0" y="0"/>
            <wp:positionH relativeFrom="column">
              <wp:posOffset>-252730</wp:posOffset>
            </wp:positionH>
            <wp:positionV relativeFrom="paragraph">
              <wp:posOffset>-483208</wp:posOffset>
            </wp:positionV>
            <wp:extent cx="3112936" cy="914400"/>
            <wp:effectExtent l="0" t="0" r="0" b="0"/>
            <wp:wrapNone/>
            <wp:docPr id="1" name="Imagen 3" descr="Logo Gobiern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Gobierno Municip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2936" cy="914400"/>
                    </a:xfrm>
                    <a:prstGeom prst="rect">
                      <a:avLst/>
                    </a:prstGeom>
                    <a:noFill/>
                  </pic:spPr>
                </pic:pic>
              </a:graphicData>
            </a:graphic>
            <wp14:sizeRelH relativeFrom="page">
              <wp14:pctWidth>0</wp14:pctWidth>
            </wp14:sizeRelH>
            <wp14:sizeRelV relativeFrom="page">
              <wp14:pctHeight>0</wp14:pctHeight>
            </wp14:sizeRelV>
          </wp:anchor>
        </w:drawing>
      </w:r>
    </w:p>
    <w:p w:rsidR="00EE4555" w:rsidRDefault="00EE4555"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p>
    <w:p w:rsidR="00902C2D" w:rsidRDefault="00590331"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r>
        <w:rPr>
          <w:rFonts w:ascii="Verdana" w:hAnsi="Verdana" w:cs="Verdana"/>
          <w:b/>
          <w:bCs/>
          <w:sz w:val="22"/>
          <w:szCs w:val="22"/>
          <w:lang w:val="es-ES_tradnl"/>
        </w:rPr>
        <w:t xml:space="preserve">Decreto Nº </w:t>
      </w:r>
      <w:r w:rsidR="00EE4555">
        <w:rPr>
          <w:rFonts w:ascii="Verdana" w:hAnsi="Verdana" w:cs="Verdana"/>
          <w:b/>
          <w:bCs/>
          <w:sz w:val="22"/>
          <w:szCs w:val="22"/>
          <w:lang w:val="es-ES_tradnl"/>
        </w:rPr>
        <w:t>592</w:t>
      </w:r>
    </w:p>
    <w:p w:rsidR="005A73F0" w:rsidRDefault="005A73F0" w:rsidP="00902C2D">
      <w:pPr>
        <w:widowControl w:val="0"/>
        <w:tabs>
          <w:tab w:val="left" w:pos="5353"/>
        </w:tabs>
        <w:autoSpaceDE w:val="0"/>
        <w:autoSpaceDN w:val="0"/>
        <w:adjustRightInd w:val="0"/>
        <w:spacing w:line="276" w:lineRule="auto"/>
        <w:jc w:val="center"/>
        <w:rPr>
          <w:rFonts w:ascii="Verdana" w:hAnsi="Verdana" w:cs="Verdana"/>
          <w:b/>
          <w:bCs/>
          <w:sz w:val="22"/>
          <w:szCs w:val="22"/>
          <w:lang w:val="es-ES_tradnl"/>
        </w:rPr>
      </w:pPr>
    </w:p>
    <w:p w:rsidR="00902C2D" w:rsidRDefault="00902C2D" w:rsidP="00902C2D">
      <w:pPr>
        <w:spacing w:line="276" w:lineRule="auto"/>
        <w:jc w:val="center"/>
        <w:rPr>
          <w:rFonts w:ascii="Verdana" w:hAnsi="Verdana" w:cs="Verdana"/>
          <w:b/>
          <w:bCs/>
          <w:sz w:val="22"/>
          <w:szCs w:val="22"/>
          <w:lang w:val="es-ES_tradnl"/>
        </w:rPr>
      </w:pPr>
    </w:p>
    <w:p w:rsidR="00902C2D" w:rsidRDefault="00902C2D" w:rsidP="00902C2D">
      <w:pPr>
        <w:spacing w:line="276" w:lineRule="auto"/>
        <w:jc w:val="center"/>
        <w:rPr>
          <w:rFonts w:ascii="Verdana" w:hAnsi="Verdana" w:cs="Verdana"/>
          <w:sz w:val="22"/>
          <w:szCs w:val="22"/>
        </w:rPr>
      </w:pPr>
    </w:p>
    <w:p w:rsidR="00902C2D" w:rsidRDefault="00590331" w:rsidP="00902C2D">
      <w:pPr>
        <w:spacing w:line="276" w:lineRule="auto"/>
        <w:jc w:val="right"/>
        <w:rPr>
          <w:rFonts w:ascii="Verdana" w:hAnsi="Verdana" w:cs="Verdana"/>
          <w:sz w:val="22"/>
          <w:szCs w:val="22"/>
        </w:rPr>
      </w:pPr>
      <w:r>
        <w:rPr>
          <w:rFonts w:ascii="Verdana" w:hAnsi="Verdana" w:cs="Verdana"/>
          <w:sz w:val="22"/>
          <w:szCs w:val="22"/>
        </w:rPr>
        <w:t>Bolívar, 3 de abril</w:t>
      </w:r>
      <w:r w:rsidR="00902C2D">
        <w:rPr>
          <w:rFonts w:ascii="Verdana" w:hAnsi="Verdana" w:cs="Verdana"/>
          <w:sz w:val="22"/>
          <w:szCs w:val="22"/>
        </w:rPr>
        <w:t xml:space="preserve"> de 2020.-</w:t>
      </w: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right"/>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b/>
          <w:bCs/>
          <w:sz w:val="22"/>
          <w:szCs w:val="22"/>
        </w:rPr>
        <w:t>VISTO</w:t>
      </w:r>
      <w:r>
        <w:rPr>
          <w:rFonts w:ascii="Verdana" w:hAnsi="Verdana" w:cs="Verdana"/>
          <w:sz w:val="22"/>
          <w:szCs w:val="22"/>
        </w:rPr>
        <w:t xml:space="preserve">: Los Decretos de Necesidad y Urgencia N° 260/20, </w:t>
      </w:r>
      <w:r w:rsidRPr="00733343">
        <w:rPr>
          <w:rFonts w:ascii="Verdana" w:hAnsi="Verdana" w:cs="Verdana"/>
          <w:sz w:val="22"/>
          <w:szCs w:val="22"/>
        </w:rPr>
        <w:t>297/2020</w:t>
      </w:r>
      <w:r>
        <w:rPr>
          <w:rFonts w:ascii="Verdana" w:hAnsi="Verdana" w:cs="Verdana"/>
          <w:sz w:val="22"/>
          <w:szCs w:val="22"/>
        </w:rPr>
        <w:t xml:space="preserve"> y sus modificatorias, las Resoluciones N° 568/20 y N° 627/20 del Ministerio de Salud de la Nación</w:t>
      </w:r>
      <w:r>
        <w:rPr>
          <w:rFonts w:ascii="Verdana" w:hAnsi="Verdana" w:cs="Verdana"/>
          <w:sz w:val="22"/>
          <w:szCs w:val="22"/>
          <w:lang w:val="es-ES_tradnl"/>
        </w:rPr>
        <w:t>;</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Pr="00A73D15" w:rsidRDefault="00902C2D" w:rsidP="00902C2D">
      <w:pPr>
        <w:widowControl w:val="0"/>
        <w:autoSpaceDE w:val="0"/>
        <w:autoSpaceDN w:val="0"/>
        <w:adjustRightInd w:val="0"/>
        <w:spacing w:line="276" w:lineRule="auto"/>
        <w:jc w:val="both"/>
        <w:rPr>
          <w:rFonts w:ascii="Verdana" w:hAnsi="Verdana" w:cs="Verdana"/>
          <w:bCs/>
          <w:sz w:val="22"/>
          <w:szCs w:val="22"/>
          <w:lang w:val="es-ES_tradnl"/>
        </w:rPr>
      </w:pPr>
      <w:r w:rsidRPr="00A73D15">
        <w:rPr>
          <w:rFonts w:ascii="Verdana" w:hAnsi="Verdana" w:cs="Verdana"/>
          <w:bCs/>
          <w:sz w:val="22"/>
          <w:szCs w:val="22"/>
          <w:lang w:val="es-ES_tradnl"/>
        </w:rPr>
        <w:t>CONSIDERANDO:</w:t>
      </w:r>
    </w:p>
    <w:p w:rsidR="00A73D15" w:rsidRDefault="00A73D15" w:rsidP="00A73D15">
      <w:pPr>
        <w:widowControl w:val="0"/>
        <w:autoSpaceDE w:val="0"/>
        <w:autoSpaceDN w:val="0"/>
        <w:adjustRightInd w:val="0"/>
        <w:spacing w:line="276" w:lineRule="auto"/>
        <w:jc w:val="both"/>
        <w:rPr>
          <w:rFonts w:ascii="Verdana" w:hAnsi="Verdana" w:cs="Verdana"/>
          <w:bCs/>
          <w:sz w:val="22"/>
          <w:szCs w:val="22"/>
        </w:rPr>
      </w:pP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r w:rsidRPr="00A73D15">
        <w:rPr>
          <w:rFonts w:ascii="Verdana" w:hAnsi="Verdana" w:cs="Verdana"/>
          <w:bCs/>
          <w:sz w:val="22"/>
          <w:szCs w:val="22"/>
        </w:rPr>
        <w:t>Que  por  el  artículo  6°  de dicho cuerpo normativo,  se  establecieron  excepciones  del  cumplimiento  del  “aislamiento social, preventivo y obligatorio” y de la prohibición de circular a las personas afectadas a las actividades y servicios de transporte público de pasajeros, de mercaderías, petróleo, combustibles y gas licuado de petróleo, transporte  de  residuos  sólidos  urbanos,  peligrosos  y  patogénicos,  transporte  y  distribución  de  combustibles  líquidos,  petróleo  y  gas,  transporte  de  caudales,  distribución  de  paquetería,  actividades  impostergables  de  comercio exterior, actividades vinculadas con la distribución agropecuaria y de pesca;</w:t>
      </w: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r w:rsidRPr="00A73D15">
        <w:rPr>
          <w:rFonts w:ascii="Verdana" w:hAnsi="Verdana" w:cs="Verdana"/>
          <w:bCs/>
          <w:sz w:val="22"/>
          <w:szCs w:val="22"/>
        </w:rPr>
        <w:t>Que  en  forma  adicional  a  las  limitaciones  descriptas,  por  medio los artículos 1° y 2° de  la  Resolución  N°  627 de fecha 19 de Marzo de 2020  del  MINISTERIO  DE SALUD DE LA NACIÓN y, a fin de acompañar las medidas adoptadas por el PODER EJECUTIVO NACIONAL, se aprobaron las indicaciones para el aislamiento (Anexo I) y las indicaciones de distanciamiento social (Anexo II), ambas de cumplimiento obligatorio por las personas alcanzadas;</w:t>
      </w: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r w:rsidRPr="00A73D15">
        <w:rPr>
          <w:rFonts w:ascii="Verdana" w:hAnsi="Verdana" w:cs="Verdana"/>
          <w:bCs/>
          <w:sz w:val="22"/>
          <w:szCs w:val="22"/>
        </w:rPr>
        <w:t>Que, asimismo, por el artículo 3° se especificaron las personas consideradas como “grupos de riesgo”, en el marco de lo dispuesto por el artículo 1° del Decreto N° 260/20;</w:t>
      </w: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r w:rsidRPr="00A73D15">
        <w:rPr>
          <w:rFonts w:ascii="Verdana" w:hAnsi="Verdana" w:cs="Verdana"/>
          <w:bCs/>
          <w:sz w:val="22"/>
          <w:szCs w:val="22"/>
        </w:rPr>
        <w:t>Que a través de la Decisión Administrativa N° 429/20 se incorporaron al listado otras actividades y servicios declarados esenciales en la emergencia, que también quedaron exceptuados del cumplimiento del “aislamiento, social, preventivo y obligatorio”.</w:t>
      </w:r>
    </w:p>
    <w:p w:rsidR="00A73D15" w:rsidRPr="00A73D15" w:rsidRDefault="00A73D15" w:rsidP="00A73D15">
      <w:pPr>
        <w:widowControl w:val="0"/>
        <w:autoSpaceDE w:val="0"/>
        <w:autoSpaceDN w:val="0"/>
        <w:adjustRightInd w:val="0"/>
        <w:spacing w:line="276" w:lineRule="auto"/>
        <w:jc w:val="both"/>
        <w:rPr>
          <w:rFonts w:ascii="Verdana" w:hAnsi="Verdana" w:cs="Verdana"/>
          <w:bCs/>
          <w:sz w:val="22"/>
          <w:szCs w:val="22"/>
        </w:rPr>
      </w:pPr>
    </w:p>
    <w:p w:rsidR="00590331" w:rsidRDefault="00590331" w:rsidP="00A73D15">
      <w:pPr>
        <w:widowControl w:val="0"/>
        <w:autoSpaceDE w:val="0"/>
        <w:autoSpaceDN w:val="0"/>
        <w:adjustRightInd w:val="0"/>
        <w:spacing w:line="276" w:lineRule="auto"/>
        <w:jc w:val="both"/>
        <w:rPr>
          <w:rFonts w:ascii="Verdana" w:hAnsi="Verdana" w:cs="Verdana"/>
          <w:bCs/>
          <w:sz w:val="22"/>
          <w:szCs w:val="22"/>
        </w:rPr>
      </w:pPr>
    </w:p>
    <w:p w:rsidR="00A73D15" w:rsidRDefault="00A73D15" w:rsidP="00A73D15">
      <w:pPr>
        <w:widowControl w:val="0"/>
        <w:autoSpaceDE w:val="0"/>
        <w:autoSpaceDN w:val="0"/>
        <w:adjustRightInd w:val="0"/>
        <w:spacing w:line="276" w:lineRule="auto"/>
        <w:jc w:val="both"/>
        <w:rPr>
          <w:rFonts w:ascii="Verdana" w:hAnsi="Verdana" w:cs="Verdana"/>
          <w:bCs/>
          <w:sz w:val="22"/>
          <w:szCs w:val="22"/>
        </w:rPr>
      </w:pPr>
      <w:r w:rsidRPr="00A73D15">
        <w:rPr>
          <w:rFonts w:ascii="Verdana" w:hAnsi="Verdana" w:cs="Verdana"/>
          <w:bCs/>
          <w:sz w:val="22"/>
          <w:szCs w:val="22"/>
        </w:rPr>
        <w:t>Que en las últimas horas el Ministerio de Salud de la República Argentina amplio las zonas definidas con transmisión local de COVID-19 en Argentina, incorporando a la Ciudad Autónoma de Buenos Aires y Área Metropolitana de Buenos Aires, las Provincias de Chaco y Santa Fe, En Córdoba la localidad de Alta Gracia y Rio Cuarto y  dentro de la provincia de Tierra del Fuego, la localidad de Ushuaia.</w:t>
      </w:r>
    </w:p>
    <w:p w:rsidR="00EE4555" w:rsidRDefault="00EE4555" w:rsidP="00A73D15">
      <w:pPr>
        <w:widowControl w:val="0"/>
        <w:autoSpaceDE w:val="0"/>
        <w:autoSpaceDN w:val="0"/>
        <w:adjustRightInd w:val="0"/>
        <w:spacing w:line="276" w:lineRule="auto"/>
        <w:jc w:val="both"/>
        <w:rPr>
          <w:rFonts w:ascii="Verdana" w:hAnsi="Verdana" w:cs="Verdana"/>
          <w:bCs/>
          <w:sz w:val="22"/>
          <w:szCs w:val="22"/>
        </w:rPr>
      </w:pPr>
    </w:p>
    <w:p w:rsidR="00EE4555" w:rsidRPr="00A73D15" w:rsidRDefault="00EE4555" w:rsidP="00A73D15">
      <w:pPr>
        <w:widowControl w:val="0"/>
        <w:autoSpaceDE w:val="0"/>
        <w:autoSpaceDN w:val="0"/>
        <w:adjustRightInd w:val="0"/>
        <w:spacing w:line="276" w:lineRule="auto"/>
        <w:jc w:val="both"/>
        <w:rPr>
          <w:rFonts w:ascii="Verdana" w:hAnsi="Verdana" w:cs="Verdana"/>
          <w:bCs/>
          <w:sz w:val="22"/>
          <w:szCs w:val="22"/>
        </w:rPr>
      </w:pPr>
      <w:r w:rsidRPr="00EE4555">
        <w:rPr>
          <w:rFonts w:ascii="Verdana" w:hAnsi="Verdana" w:cs="Verdana"/>
          <w:bCs/>
          <w:sz w:val="22"/>
          <w:szCs w:val="22"/>
        </w:rPr>
        <w:t>Que dicha situación ha sido prevista, estableciéndose que el Jefe de Gabinete de Ministros, en su carácter de coordinador de la “Unidad de Coordinación General del Plan Integral para la Prevención de Eventos de Salud Pública de Importancia Internacional”, podrá ampliar o reducir las excepciones dispuestas, en función de la dinámica de la situación epidemiológica y de la eficacia que se observe en el cumplimiento del Decreto N° 297/20.</w:t>
      </w:r>
    </w:p>
    <w:p w:rsidR="00902C2D" w:rsidRDefault="00902C2D" w:rsidP="00902C2D">
      <w:pPr>
        <w:widowControl w:val="0"/>
        <w:autoSpaceDE w:val="0"/>
        <w:autoSpaceDN w:val="0"/>
        <w:adjustRightInd w:val="0"/>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ha tomado intervención de su competencia la Secretaría Legal y Técnica;</w:t>
      </w:r>
    </w:p>
    <w:p w:rsidR="00902C2D" w:rsidRDefault="00902C2D" w:rsidP="00902C2D">
      <w:pPr>
        <w:widowControl w:val="0"/>
        <w:autoSpaceDE w:val="0"/>
        <w:autoSpaceDN w:val="0"/>
        <w:adjustRightInd w:val="0"/>
        <w:spacing w:line="276" w:lineRule="auto"/>
        <w:jc w:val="both"/>
        <w:rPr>
          <w:rFonts w:ascii="Verdana" w:hAnsi="Verdana" w:cs="Verdana"/>
          <w:sz w:val="22"/>
          <w:szCs w:val="22"/>
        </w:rPr>
      </w:pPr>
    </w:p>
    <w:p w:rsidR="00902C2D" w:rsidRDefault="00902C2D" w:rsidP="00902C2D">
      <w:pPr>
        <w:widowControl w:val="0"/>
        <w:autoSpaceDE w:val="0"/>
        <w:autoSpaceDN w:val="0"/>
        <w:adjustRightInd w:val="0"/>
        <w:spacing w:line="276" w:lineRule="auto"/>
        <w:jc w:val="both"/>
        <w:rPr>
          <w:rFonts w:ascii="Verdana" w:hAnsi="Verdana" w:cs="Verdana"/>
          <w:sz w:val="22"/>
          <w:szCs w:val="22"/>
        </w:rPr>
      </w:pPr>
      <w:r>
        <w:rPr>
          <w:rFonts w:ascii="Verdana" w:hAnsi="Verdana" w:cs="Verdana"/>
          <w:sz w:val="22"/>
          <w:szCs w:val="22"/>
        </w:rPr>
        <w:t>Que la presente medida se dicta en uso de las atribuciones conferidas por el artículo 10° del Decreto de Necesidad y Urgencia N° 297/20;</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r>
        <w:rPr>
          <w:rFonts w:ascii="Verdana" w:hAnsi="Verdana" w:cs="Verdana"/>
          <w:sz w:val="22"/>
          <w:szCs w:val="22"/>
        </w:rPr>
        <w:t xml:space="preserve">Por ello; </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both"/>
        <w:rPr>
          <w:rFonts w:ascii="Verdana" w:hAnsi="Verdana" w:cs="Verdana"/>
          <w:sz w:val="22"/>
          <w:szCs w:val="22"/>
        </w:rPr>
      </w:pPr>
    </w:p>
    <w:p w:rsidR="00F534D4" w:rsidRDefault="00F534D4" w:rsidP="00902C2D">
      <w:pPr>
        <w:spacing w:line="276" w:lineRule="auto"/>
        <w:jc w:val="center"/>
        <w:rPr>
          <w:rFonts w:ascii="Verdana" w:hAnsi="Verdana" w:cs="Verdana"/>
          <w:b/>
          <w:bCs/>
          <w:sz w:val="22"/>
          <w:szCs w:val="22"/>
        </w:rPr>
      </w:pP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EL INTENDENTE MUNICIPAL DEL PARTIDO DE BOLIVAR</w:t>
      </w:r>
    </w:p>
    <w:p w:rsidR="00902C2D" w:rsidRDefault="00902C2D" w:rsidP="00902C2D">
      <w:pPr>
        <w:tabs>
          <w:tab w:val="left" w:pos="5791"/>
        </w:tabs>
        <w:spacing w:line="276" w:lineRule="auto"/>
        <w:rPr>
          <w:rFonts w:ascii="Verdana" w:hAnsi="Verdana" w:cs="Verdana"/>
          <w:sz w:val="22"/>
          <w:szCs w:val="22"/>
        </w:rPr>
      </w:pPr>
      <w:r>
        <w:rPr>
          <w:rFonts w:ascii="Verdana" w:hAnsi="Verdana" w:cs="Verdana"/>
          <w:sz w:val="22"/>
          <w:szCs w:val="22"/>
        </w:rPr>
        <w:tab/>
      </w:r>
    </w:p>
    <w:p w:rsidR="00902C2D" w:rsidRDefault="00902C2D" w:rsidP="00902C2D">
      <w:pPr>
        <w:spacing w:line="276" w:lineRule="auto"/>
        <w:jc w:val="center"/>
        <w:rPr>
          <w:rFonts w:ascii="Verdana" w:hAnsi="Verdana" w:cs="Verdana"/>
          <w:b/>
          <w:bCs/>
          <w:sz w:val="22"/>
          <w:szCs w:val="22"/>
        </w:rPr>
      </w:pPr>
      <w:r>
        <w:rPr>
          <w:rFonts w:ascii="Verdana" w:hAnsi="Verdana" w:cs="Verdana"/>
          <w:b/>
          <w:bCs/>
          <w:sz w:val="22"/>
          <w:szCs w:val="22"/>
        </w:rPr>
        <w:t>DECRETA</w:t>
      </w:r>
    </w:p>
    <w:p w:rsidR="00902C2D" w:rsidRDefault="00902C2D" w:rsidP="00902C2D">
      <w:pPr>
        <w:spacing w:line="276" w:lineRule="auto"/>
        <w:jc w:val="both"/>
        <w:rPr>
          <w:rFonts w:ascii="Verdana" w:hAnsi="Verdana" w:cs="Verdana"/>
          <w:sz w:val="22"/>
          <w:szCs w:val="22"/>
        </w:rPr>
      </w:pPr>
    </w:p>
    <w:p w:rsidR="00902C2D" w:rsidRDefault="00902C2D" w:rsidP="00902C2D">
      <w:pPr>
        <w:spacing w:line="276" w:lineRule="auto"/>
        <w:jc w:val="center"/>
        <w:rPr>
          <w:rFonts w:ascii="Verdana" w:hAnsi="Verdana"/>
          <w:b/>
          <w:sz w:val="22"/>
          <w:szCs w:val="22"/>
        </w:rPr>
      </w:pPr>
    </w:p>
    <w:p w:rsidR="00902C2D" w:rsidRPr="00B33BC3" w:rsidRDefault="00902C2D" w:rsidP="00902C2D">
      <w:pPr>
        <w:spacing w:line="276" w:lineRule="auto"/>
        <w:jc w:val="center"/>
        <w:rPr>
          <w:rFonts w:ascii="Verdana" w:hAnsi="Verdana"/>
          <w:sz w:val="22"/>
          <w:szCs w:val="22"/>
        </w:rPr>
      </w:pPr>
    </w:p>
    <w:p w:rsidR="00590331" w:rsidRDefault="00902C2D" w:rsidP="00A73D15">
      <w:pPr>
        <w:spacing w:line="276" w:lineRule="auto"/>
        <w:jc w:val="both"/>
        <w:rPr>
          <w:rFonts w:ascii="Verdana" w:hAnsi="Verdana"/>
          <w:sz w:val="22"/>
          <w:szCs w:val="22"/>
        </w:rPr>
      </w:pPr>
      <w:r w:rsidRPr="00B33BC3">
        <w:rPr>
          <w:rFonts w:ascii="Verdana" w:hAnsi="Verdana"/>
          <w:b/>
          <w:sz w:val="22"/>
          <w:szCs w:val="22"/>
        </w:rPr>
        <w:t>Artículo 1º:</w:t>
      </w:r>
      <w:r w:rsidRPr="00B33BC3">
        <w:rPr>
          <w:rFonts w:ascii="Verdana" w:hAnsi="Verdana"/>
          <w:sz w:val="22"/>
          <w:szCs w:val="22"/>
        </w:rPr>
        <w:t xml:space="preserve"> </w:t>
      </w:r>
      <w:r w:rsidR="00A73D15">
        <w:rPr>
          <w:rFonts w:ascii="Verdana" w:hAnsi="Verdana"/>
          <w:sz w:val="22"/>
          <w:szCs w:val="22"/>
        </w:rPr>
        <w:t>Amplíese el listado de actividades y servicios declarados esenciales en la Emergencia, en los términos previstos en el Dec</w:t>
      </w:r>
      <w:r w:rsidR="00590331">
        <w:rPr>
          <w:rFonts w:ascii="Verdana" w:hAnsi="Verdana"/>
          <w:sz w:val="22"/>
          <w:szCs w:val="22"/>
        </w:rPr>
        <w:t>reto N</w:t>
      </w:r>
      <w:r w:rsidR="00A73D15">
        <w:rPr>
          <w:rFonts w:ascii="Verdana" w:hAnsi="Verdana"/>
          <w:sz w:val="22"/>
          <w:szCs w:val="22"/>
        </w:rPr>
        <w:t>°</w:t>
      </w:r>
      <w:r w:rsidR="00590331">
        <w:rPr>
          <w:rFonts w:ascii="Verdana" w:hAnsi="Verdana"/>
          <w:sz w:val="22"/>
          <w:szCs w:val="22"/>
        </w:rPr>
        <w:t xml:space="preserve"> </w:t>
      </w:r>
      <w:r w:rsidR="00A73D15">
        <w:rPr>
          <w:rFonts w:ascii="Verdana" w:hAnsi="Verdana"/>
          <w:sz w:val="22"/>
          <w:szCs w:val="22"/>
        </w:rPr>
        <w:t>297/20, conforme establece a continuación:</w:t>
      </w:r>
    </w:p>
    <w:p w:rsidR="00590331" w:rsidRDefault="00590331"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1. Venta de insumos y materiales de la construcción provistos por corralones.</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2. Actividades vinculadas con la producción, distribución y comercialización forestal y minera.</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lastRenderedPageBreak/>
        <w:t>3. Curtiembres, aserraderos y fábricas de productos de madera, fábricas de colchones y fábricas de maquinaria vial y agrícola.</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4. Actividades vinculadas con el comercio exterior: exportaciones de productos ya elaborados e importaciones esenciales para el funcionamiento de la economía.</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5. Exploración, prospección, producción, transformación y comercialización de combustible nuclear.</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6. Servicios esenciales de mantenimiento y fumigación.</w:t>
      </w:r>
    </w:p>
    <w:p w:rsidR="00A73D15" w:rsidRPr="00A73D15" w:rsidRDefault="00A73D15" w:rsidP="00A73D15">
      <w:pPr>
        <w:spacing w:line="276" w:lineRule="auto"/>
        <w:jc w:val="both"/>
        <w:rPr>
          <w:rFonts w:ascii="Verdana" w:hAnsi="Verdana"/>
          <w:sz w:val="22"/>
          <w:szCs w:val="22"/>
        </w:rPr>
      </w:pPr>
    </w:p>
    <w:p w:rsidR="00A73D15" w:rsidRPr="00A73D15" w:rsidRDefault="00A73D15" w:rsidP="00A73D15">
      <w:pPr>
        <w:spacing w:line="276" w:lineRule="auto"/>
        <w:jc w:val="both"/>
        <w:rPr>
          <w:rFonts w:ascii="Verdana" w:hAnsi="Verdana"/>
          <w:sz w:val="22"/>
          <w:szCs w:val="22"/>
        </w:rPr>
      </w:pPr>
      <w:r w:rsidRPr="00A73D15">
        <w:rPr>
          <w:rFonts w:ascii="Verdana" w:hAnsi="Verdana"/>
          <w:sz w:val="22"/>
          <w:szCs w:val="22"/>
        </w:rPr>
        <w:t>7. Mutuales y cooperativas de crédito, mediante guardias mínimas de atención, al solo efecto de garantizar el funcionamiento del sistema de créditos y/o de pagos.</w:t>
      </w:r>
    </w:p>
    <w:p w:rsidR="00A73D15" w:rsidRPr="00A73D15" w:rsidRDefault="00A73D15" w:rsidP="00A73D15">
      <w:pPr>
        <w:spacing w:line="276" w:lineRule="auto"/>
        <w:jc w:val="both"/>
        <w:rPr>
          <w:rFonts w:ascii="Verdana" w:hAnsi="Verdana"/>
          <w:sz w:val="22"/>
          <w:szCs w:val="22"/>
        </w:rPr>
      </w:pPr>
    </w:p>
    <w:p w:rsidR="00A73D15" w:rsidRDefault="00A73D15" w:rsidP="00A73D15">
      <w:pPr>
        <w:spacing w:line="276" w:lineRule="auto"/>
        <w:jc w:val="both"/>
        <w:rPr>
          <w:rFonts w:ascii="Verdana" w:hAnsi="Verdana"/>
          <w:sz w:val="22"/>
          <w:szCs w:val="22"/>
        </w:rPr>
      </w:pPr>
      <w:r w:rsidRPr="00A73D15">
        <w:rPr>
          <w:rFonts w:ascii="Verdana" w:hAnsi="Verdana"/>
          <w:sz w:val="22"/>
          <w:szCs w:val="22"/>
        </w:rPr>
        <w:t>8. Inscripción, identificación y documentación de personas.</w:t>
      </w:r>
    </w:p>
    <w:p w:rsidR="00A73D15" w:rsidRDefault="00A73D15" w:rsidP="00902C2D">
      <w:pPr>
        <w:spacing w:line="276" w:lineRule="auto"/>
        <w:jc w:val="both"/>
        <w:rPr>
          <w:rFonts w:ascii="Verdana" w:hAnsi="Verdana"/>
          <w:sz w:val="22"/>
          <w:szCs w:val="22"/>
        </w:rPr>
      </w:pPr>
    </w:p>
    <w:p w:rsidR="00A73D15" w:rsidRDefault="000F2370" w:rsidP="00A73D15">
      <w:pPr>
        <w:spacing w:line="276" w:lineRule="auto"/>
        <w:jc w:val="both"/>
        <w:rPr>
          <w:rFonts w:ascii="Verdana" w:hAnsi="Verdana"/>
          <w:sz w:val="22"/>
          <w:szCs w:val="22"/>
        </w:rPr>
      </w:pPr>
      <w:r>
        <w:rPr>
          <w:rFonts w:ascii="Verdana" w:hAnsi="Verdana"/>
          <w:b/>
          <w:sz w:val="22"/>
          <w:szCs w:val="22"/>
        </w:rPr>
        <w:t>Artículo</w:t>
      </w:r>
      <w:r w:rsidR="00EE4555">
        <w:rPr>
          <w:rFonts w:ascii="Verdana" w:hAnsi="Verdana"/>
          <w:b/>
          <w:sz w:val="22"/>
          <w:szCs w:val="22"/>
        </w:rPr>
        <w:t xml:space="preserve"> 2</w:t>
      </w:r>
      <w:r w:rsidR="00875C53" w:rsidRPr="00875C53">
        <w:rPr>
          <w:rFonts w:ascii="Verdana" w:hAnsi="Verdana"/>
          <w:sz w:val="22"/>
          <w:szCs w:val="22"/>
        </w:rPr>
        <w:t xml:space="preserve">°: </w:t>
      </w:r>
      <w:r w:rsidR="00590331" w:rsidRPr="00590331">
        <w:rPr>
          <w:rFonts w:ascii="Verdana" w:hAnsi="Verdana"/>
          <w:sz w:val="22"/>
          <w:szCs w:val="22"/>
        </w:rPr>
        <w:t>Las personas alcanzadas por esta Decisión Administrativa deberán tramitar el Certificado Único Habilitante para Circulación - Covid-19.</w:t>
      </w:r>
    </w:p>
    <w:p w:rsidR="00EE4555" w:rsidRDefault="00EE4555" w:rsidP="00EE4555">
      <w:pPr>
        <w:spacing w:line="276" w:lineRule="auto"/>
        <w:jc w:val="both"/>
        <w:rPr>
          <w:rFonts w:ascii="Verdana" w:hAnsi="Verdana"/>
          <w:sz w:val="22"/>
          <w:szCs w:val="22"/>
        </w:rPr>
      </w:pPr>
    </w:p>
    <w:p w:rsidR="00EE4555" w:rsidRDefault="00EE4555" w:rsidP="00EE4555">
      <w:pPr>
        <w:spacing w:line="276" w:lineRule="auto"/>
        <w:jc w:val="both"/>
        <w:rPr>
          <w:rFonts w:ascii="Verdana" w:hAnsi="Verdana"/>
          <w:sz w:val="22"/>
          <w:szCs w:val="22"/>
        </w:rPr>
      </w:pPr>
      <w:r w:rsidRPr="00EE4555">
        <w:rPr>
          <w:rFonts w:ascii="Verdana" w:hAnsi="Verdana"/>
          <w:b/>
          <w:sz w:val="22"/>
          <w:szCs w:val="22"/>
        </w:rPr>
        <w:t xml:space="preserve">Artículo </w:t>
      </w:r>
      <w:r w:rsidR="00B63BDF">
        <w:rPr>
          <w:rFonts w:ascii="Verdana" w:hAnsi="Verdana"/>
          <w:b/>
          <w:sz w:val="22"/>
          <w:szCs w:val="22"/>
        </w:rPr>
        <w:t xml:space="preserve"> </w:t>
      </w:r>
      <w:r w:rsidRPr="00EE4555">
        <w:rPr>
          <w:rFonts w:ascii="Verdana" w:hAnsi="Verdana"/>
          <w:b/>
          <w:sz w:val="22"/>
          <w:szCs w:val="22"/>
        </w:rPr>
        <w:t>3</w:t>
      </w:r>
      <w:r w:rsidR="00B63BDF" w:rsidRPr="00EE4555">
        <w:rPr>
          <w:rFonts w:ascii="Verdana" w:hAnsi="Verdana"/>
          <w:b/>
          <w:sz w:val="22"/>
          <w:szCs w:val="22"/>
        </w:rPr>
        <w:t>°</w:t>
      </w:r>
      <w:r w:rsidR="00B63BDF">
        <w:rPr>
          <w:rFonts w:ascii="Verdana" w:hAnsi="Verdana"/>
          <w:b/>
          <w:sz w:val="22"/>
          <w:szCs w:val="22"/>
        </w:rPr>
        <w:t>:</w:t>
      </w:r>
      <w:r w:rsidRPr="00EE4555">
        <w:rPr>
          <w:rFonts w:ascii="Verdana" w:hAnsi="Verdana"/>
          <w:sz w:val="22"/>
          <w:szCs w:val="22"/>
        </w:rPr>
        <w:t xml:space="preserve"> El presente decreto será refrendado por la  Secretaria de Salud.</w:t>
      </w:r>
    </w:p>
    <w:p w:rsidR="00EE4555" w:rsidRPr="00EE4555" w:rsidRDefault="00EE4555" w:rsidP="00902C2D">
      <w:pPr>
        <w:spacing w:line="276" w:lineRule="auto"/>
        <w:jc w:val="both"/>
        <w:rPr>
          <w:rFonts w:ascii="Verdana" w:hAnsi="Verdana"/>
          <w:b/>
          <w:sz w:val="22"/>
          <w:szCs w:val="22"/>
        </w:rPr>
      </w:pPr>
    </w:p>
    <w:p w:rsidR="00EE4555" w:rsidRDefault="00EE4555" w:rsidP="00902C2D">
      <w:pPr>
        <w:spacing w:line="276" w:lineRule="auto"/>
        <w:jc w:val="both"/>
        <w:rPr>
          <w:rFonts w:ascii="Verdana" w:hAnsi="Verdana"/>
          <w:sz w:val="22"/>
          <w:szCs w:val="22"/>
        </w:rPr>
      </w:pPr>
      <w:r w:rsidRPr="00EE4555">
        <w:rPr>
          <w:rFonts w:ascii="Verdana" w:hAnsi="Verdana"/>
          <w:b/>
          <w:sz w:val="22"/>
          <w:szCs w:val="22"/>
        </w:rPr>
        <w:t xml:space="preserve">Artículo </w:t>
      </w:r>
      <w:r w:rsidR="00B63BDF">
        <w:rPr>
          <w:rFonts w:ascii="Verdana" w:hAnsi="Verdana"/>
          <w:b/>
          <w:sz w:val="22"/>
          <w:szCs w:val="22"/>
        </w:rPr>
        <w:t xml:space="preserve"> </w:t>
      </w:r>
      <w:r w:rsidRPr="00EE4555">
        <w:rPr>
          <w:rFonts w:ascii="Verdana" w:hAnsi="Verdana"/>
          <w:b/>
          <w:sz w:val="22"/>
          <w:szCs w:val="22"/>
        </w:rPr>
        <w:t>4º:</w:t>
      </w:r>
      <w:r w:rsidRPr="00EE4555">
        <w:rPr>
          <w:rFonts w:ascii="Verdana" w:hAnsi="Verdana"/>
          <w:sz w:val="22"/>
          <w:szCs w:val="22"/>
        </w:rPr>
        <w:t xml:space="preserve"> Notifíquese, Comuníquese, dése al libro de Decretos y cumplidos los trámites de estilo, archívese.                                                                         </w:t>
      </w:r>
    </w:p>
    <w:p w:rsidR="00A73D15" w:rsidRDefault="00A73D15" w:rsidP="00902C2D">
      <w:pPr>
        <w:spacing w:line="276" w:lineRule="auto"/>
        <w:jc w:val="both"/>
        <w:rPr>
          <w:rFonts w:ascii="Verdana" w:hAnsi="Verdana"/>
          <w:sz w:val="22"/>
          <w:szCs w:val="22"/>
        </w:rPr>
      </w:pPr>
    </w:p>
    <w:p w:rsidR="00907DA4" w:rsidRDefault="00907DA4" w:rsidP="00907DA4">
      <w:pPr>
        <w:spacing w:line="276" w:lineRule="auto"/>
        <w:jc w:val="both"/>
        <w:rPr>
          <w:rFonts w:ascii="Verdana" w:hAnsi="Verdana" w:cs="Verdana"/>
          <w:b/>
          <w:sz w:val="22"/>
          <w:szCs w:val="22"/>
        </w:rPr>
      </w:pPr>
    </w:p>
    <w:p w:rsidR="00902C2D" w:rsidRDefault="00902C2D" w:rsidP="00902C2D">
      <w:pPr>
        <w:spacing w:line="276" w:lineRule="auto"/>
        <w:jc w:val="both"/>
        <w:rPr>
          <w:rFonts w:ascii="Verdana" w:hAnsi="Verdana" w:cs="Verdana"/>
          <w:sz w:val="20"/>
          <w:szCs w:val="20"/>
        </w:rPr>
      </w:pPr>
    </w:p>
    <w:p w:rsidR="00BE13B6" w:rsidRDefault="00BE13B6"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sz w:val="20"/>
          <w:szCs w:val="20"/>
        </w:rPr>
      </w:pPr>
    </w:p>
    <w:p w:rsidR="00902C2D" w:rsidRPr="003D2E27" w:rsidRDefault="00902C2D" w:rsidP="00902C2D">
      <w:pPr>
        <w:spacing w:line="276" w:lineRule="auto"/>
        <w:jc w:val="both"/>
        <w:rPr>
          <w:rFonts w:ascii="Verdana" w:hAnsi="Verdana" w:cs="Verdana"/>
          <w:b/>
          <w:sz w:val="20"/>
          <w:szCs w:val="20"/>
        </w:rPr>
      </w:pPr>
      <w:r w:rsidRPr="003D2E27">
        <w:rPr>
          <w:rFonts w:ascii="Verdana" w:hAnsi="Verdana" w:cs="Verdana"/>
          <w:b/>
          <w:sz w:val="20"/>
          <w:szCs w:val="20"/>
        </w:rPr>
        <w:t xml:space="preserve">                  SRA. MARÍA ESTELA JOFRE          SR. MARCOS EMILIO PISANO</w:t>
      </w:r>
    </w:p>
    <w:p w:rsidR="003C75E9" w:rsidRDefault="00902C2D" w:rsidP="00902C2D">
      <w:pPr>
        <w:spacing w:line="276" w:lineRule="auto"/>
        <w:jc w:val="both"/>
        <w:rPr>
          <w:rFonts w:ascii="Verdana" w:hAnsi="Verdana" w:cs="Verdana"/>
          <w:sz w:val="20"/>
          <w:szCs w:val="20"/>
        </w:rPr>
      </w:pPr>
      <w:r w:rsidRPr="003D2E27">
        <w:rPr>
          <w:rFonts w:ascii="Verdana" w:hAnsi="Verdana" w:cs="Verdana"/>
          <w:b/>
          <w:sz w:val="20"/>
          <w:szCs w:val="20"/>
        </w:rPr>
        <w:t xml:space="preserve">                     </w:t>
      </w:r>
      <w:r w:rsidRPr="007E4CA0">
        <w:rPr>
          <w:rFonts w:ascii="Verdana" w:hAnsi="Verdana" w:cs="Verdana"/>
          <w:sz w:val="20"/>
          <w:szCs w:val="20"/>
        </w:rPr>
        <w:t xml:space="preserve">SECRETARIA DE SALUD               </w:t>
      </w:r>
      <w:r>
        <w:rPr>
          <w:rFonts w:ascii="Verdana" w:hAnsi="Verdana" w:cs="Verdana"/>
          <w:sz w:val="20"/>
          <w:szCs w:val="20"/>
        </w:rPr>
        <w:t xml:space="preserve">    INTENDENTE MUNICIPAL</w:t>
      </w:r>
    </w:p>
    <w:p w:rsidR="003A4B2D" w:rsidRDefault="003A4B2D" w:rsidP="00936235">
      <w:pPr>
        <w:spacing w:line="276" w:lineRule="auto"/>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936235">
      <w:pPr>
        <w:spacing w:line="276" w:lineRule="auto"/>
        <w:rPr>
          <w:b/>
        </w:rPr>
      </w:pPr>
    </w:p>
    <w:p w:rsidR="003A4B2D" w:rsidRDefault="003A4B2D" w:rsidP="000F2370">
      <w:pPr>
        <w:spacing w:line="276" w:lineRule="auto"/>
        <w:jc w:val="center"/>
        <w:rPr>
          <w:b/>
        </w:rPr>
      </w:pPr>
    </w:p>
    <w:p w:rsidR="003A4B2D" w:rsidRDefault="003A4B2D" w:rsidP="000F2370">
      <w:pPr>
        <w:spacing w:line="276" w:lineRule="auto"/>
        <w:jc w:val="center"/>
        <w:rPr>
          <w:b/>
        </w:rPr>
      </w:pPr>
    </w:p>
    <w:p w:rsidR="003A4B2D" w:rsidRDefault="003A4B2D" w:rsidP="000F2370">
      <w:pPr>
        <w:spacing w:line="276" w:lineRule="auto"/>
        <w:jc w:val="center"/>
        <w:rPr>
          <w:b/>
        </w:rPr>
      </w:pPr>
      <w:bookmarkStart w:id="0" w:name="_GoBack"/>
      <w:bookmarkEnd w:id="0"/>
    </w:p>
    <w:sectPr w:rsidR="003A4B2D" w:rsidSect="00D92EA4">
      <w:pgSz w:w="12240" w:h="15840"/>
      <w:pgMar w:top="2155"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2D"/>
    <w:rsid w:val="000434B1"/>
    <w:rsid w:val="00072B6F"/>
    <w:rsid w:val="00072BEB"/>
    <w:rsid w:val="000F2370"/>
    <w:rsid w:val="001B313E"/>
    <w:rsid w:val="001E4378"/>
    <w:rsid w:val="0020200E"/>
    <w:rsid w:val="00230E25"/>
    <w:rsid w:val="003A4B2D"/>
    <w:rsid w:val="003B58D0"/>
    <w:rsid w:val="003C75E9"/>
    <w:rsid w:val="004B748A"/>
    <w:rsid w:val="004C12E2"/>
    <w:rsid w:val="00590331"/>
    <w:rsid w:val="005A73F0"/>
    <w:rsid w:val="006F31B7"/>
    <w:rsid w:val="007E05F5"/>
    <w:rsid w:val="00875C53"/>
    <w:rsid w:val="008B4BF4"/>
    <w:rsid w:val="00902C2D"/>
    <w:rsid w:val="00907DA4"/>
    <w:rsid w:val="00936235"/>
    <w:rsid w:val="009C226A"/>
    <w:rsid w:val="00A27603"/>
    <w:rsid w:val="00A73D15"/>
    <w:rsid w:val="00B56CA4"/>
    <w:rsid w:val="00B63BDF"/>
    <w:rsid w:val="00BE13B6"/>
    <w:rsid w:val="00BE6B66"/>
    <w:rsid w:val="00CB2386"/>
    <w:rsid w:val="00EE4555"/>
    <w:rsid w:val="00F534D4"/>
    <w:rsid w:val="00FB7B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C2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2C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B6FE-7D5F-49AE-8EA4-5476E567D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3835</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LEGALES</dc:creator>
  <cp:lastModifiedBy>LEGALES</cp:lastModifiedBy>
  <cp:revision>3</cp:revision>
  <cp:lastPrinted>2020-04-07T19:37:00Z</cp:lastPrinted>
  <dcterms:created xsi:type="dcterms:W3CDTF">2020-04-07T19:39:00Z</dcterms:created>
  <dcterms:modified xsi:type="dcterms:W3CDTF">2020-05-22T15:15:00Z</dcterms:modified>
</cp:coreProperties>
</file>